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4D" w:rsidRDefault="0037195D" w:rsidP="0074498E">
      <w:pPr>
        <w:rPr>
          <w:b/>
        </w:rPr>
      </w:pPr>
      <w:bookmarkStart w:id="0" w:name="_GoBack"/>
      <w:bookmarkEnd w:id="0"/>
      <w:r>
        <w:rPr>
          <w:b/>
        </w:rPr>
        <w:t>ATTORNEY’S FEES R</w:t>
      </w:r>
      <w:r w:rsidR="00011023">
        <w:rPr>
          <w:b/>
        </w:rPr>
        <w:t xml:space="preserve">ED ALERT: </w:t>
      </w:r>
      <w:r w:rsidR="009D5D4D">
        <w:rPr>
          <w:b/>
        </w:rPr>
        <w:t xml:space="preserve">Plaintiff’s </w:t>
      </w:r>
      <w:r w:rsidR="00543F29">
        <w:rPr>
          <w:b/>
        </w:rPr>
        <w:t xml:space="preserve">Appellate &amp; Enforcement </w:t>
      </w:r>
      <w:r w:rsidR="0074498E">
        <w:rPr>
          <w:b/>
        </w:rPr>
        <w:t xml:space="preserve">Attorney Fee Awards Are </w:t>
      </w:r>
      <w:proofErr w:type="gramStart"/>
      <w:r w:rsidR="0074498E">
        <w:rPr>
          <w:b/>
        </w:rPr>
        <w:t>At</w:t>
      </w:r>
      <w:proofErr w:type="gramEnd"/>
      <w:r w:rsidR="0074498E">
        <w:rPr>
          <w:b/>
        </w:rPr>
        <w:t xml:space="preserve"> Risk in a </w:t>
      </w:r>
      <w:r w:rsidR="009D5D4D">
        <w:rPr>
          <w:b/>
        </w:rPr>
        <w:t xml:space="preserve">Case </w:t>
      </w:r>
      <w:r w:rsidR="000D67D5">
        <w:rPr>
          <w:b/>
        </w:rPr>
        <w:t>P</w:t>
      </w:r>
      <w:r w:rsidR="0074498E">
        <w:rPr>
          <w:b/>
        </w:rPr>
        <w:t xml:space="preserve">ending </w:t>
      </w:r>
      <w:r w:rsidR="009D5D4D">
        <w:rPr>
          <w:b/>
        </w:rPr>
        <w:t xml:space="preserve">Before the </w:t>
      </w:r>
      <w:r w:rsidR="0074498E">
        <w:rPr>
          <w:b/>
        </w:rPr>
        <w:t>California Supreme Court</w:t>
      </w:r>
      <w:r w:rsidR="009D5D4D">
        <w:rPr>
          <w:b/>
        </w:rPr>
        <w:t>.</w:t>
      </w:r>
    </w:p>
    <w:p w:rsidR="009613E0" w:rsidRDefault="009D5D4D" w:rsidP="0074498E">
      <w:pPr>
        <w:rPr>
          <w:b/>
        </w:rPr>
      </w:pPr>
      <w:r>
        <w:rPr>
          <w:b/>
        </w:rPr>
        <w:t xml:space="preserve"> </w:t>
      </w:r>
    </w:p>
    <w:p w:rsidR="007B22C3" w:rsidRDefault="000D67D5" w:rsidP="0074498E">
      <w:r w:rsidRPr="007B22C3">
        <w:t>By Carolina C.</w:t>
      </w:r>
      <w:r w:rsidR="007B22C3" w:rsidRPr="007B22C3">
        <w:t xml:space="preserve"> </w:t>
      </w:r>
      <w:r w:rsidRPr="007B22C3">
        <w:t>Rose</w:t>
      </w:r>
    </w:p>
    <w:p w:rsidR="00A16521" w:rsidRPr="007B22C3" w:rsidRDefault="004A1C81" w:rsidP="0074498E">
      <w:r>
        <w:t xml:space="preserve">November 1, </w:t>
      </w:r>
      <w:r w:rsidR="00A16521">
        <w:t>2013</w:t>
      </w:r>
    </w:p>
    <w:p w:rsidR="0074498E" w:rsidRDefault="0074498E" w:rsidP="0074498E">
      <w:pPr>
        <w:rPr>
          <w:b/>
        </w:rPr>
      </w:pPr>
    </w:p>
    <w:p w:rsidR="00041464" w:rsidRDefault="004A1C81" w:rsidP="0074498E">
      <w:r w:rsidRPr="004A1C81">
        <w:t xml:space="preserve">The California Legislature has adopted a number of attorney fee shifting statutes to protect individuals or groups who would not otherwise have access to justice. </w:t>
      </w:r>
      <w:r w:rsidR="00041464">
        <w:t xml:space="preserve"> </w:t>
      </w:r>
      <w:proofErr w:type="gramStart"/>
      <w:r w:rsidR="00041464">
        <w:t>(</w:t>
      </w:r>
      <w:r w:rsidR="00041464" w:rsidRPr="00041464">
        <w:t xml:space="preserve">E.g. </w:t>
      </w:r>
      <w:proofErr w:type="spellStart"/>
      <w:r w:rsidR="00041464" w:rsidRPr="00041464">
        <w:t>Welf</w:t>
      </w:r>
      <w:proofErr w:type="spellEnd"/>
      <w:r w:rsidR="00041464" w:rsidRPr="00041464">
        <w:t>.</w:t>
      </w:r>
      <w:proofErr w:type="gramEnd"/>
      <w:r w:rsidR="00041464" w:rsidRPr="00041464">
        <w:t xml:space="preserve"> </w:t>
      </w:r>
      <w:proofErr w:type="gramStart"/>
      <w:r w:rsidR="00041464" w:rsidRPr="00041464">
        <w:t>&amp; Inst. C. §§ 15675 &amp; 15657.5 (elder abuse), CCP §1021.5 (private attorney general doctrine), CCP § 426.16 (anti-SLAPP).</w:t>
      </w:r>
      <w:proofErr w:type="gramEnd"/>
      <w:r w:rsidR="00041464" w:rsidRPr="00041464">
        <w:t xml:space="preserve"> </w:t>
      </w:r>
      <w:proofErr w:type="gramStart"/>
      <w:r w:rsidR="00041464" w:rsidRPr="00041464">
        <w:t>Gov. C. § 31536 (denial of county public retirement application), and Civil Code § 2983.4 (Rees Levering automobile retail contracts).</w:t>
      </w:r>
      <w:r w:rsidR="00041464">
        <w:t>)</w:t>
      </w:r>
      <w:proofErr w:type="gramEnd"/>
    </w:p>
    <w:p w:rsidR="00041464" w:rsidRDefault="00041464" w:rsidP="0074498E"/>
    <w:p w:rsidR="00A5392E" w:rsidRDefault="004A1C81" w:rsidP="0074498E">
      <w:r w:rsidRPr="004A1C81">
        <w:t>However now all such plaintiffs’ appellate and enforcement related attorney’s fees are threatened in a case</w:t>
      </w:r>
      <w:r w:rsidR="00BB3223">
        <w:t xml:space="preserve"> </w:t>
      </w:r>
      <w:r w:rsidR="006B458E">
        <w:t xml:space="preserve">currently </w:t>
      </w:r>
      <w:r w:rsidR="00BB3223">
        <w:t>before the California Supreme Court</w:t>
      </w:r>
      <w:r w:rsidRPr="004A1C81">
        <w:t xml:space="preserve">.  </w:t>
      </w:r>
      <w:r w:rsidR="00A5392E">
        <w:t xml:space="preserve">The case could even adversely affect contractually </w:t>
      </w:r>
      <w:proofErr w:type="gramStart"/>
      <w:r w:rsidR="00A5392E">
        <w:t>based</w:t>
      </w:r>
      <w:r w:rsidR="00733635">
        <w:t xml:space="preserve"> </w:t>
      </w:r>
      <w:r w:rsidR="00625D94">
        <w:t xml:space="preserve"> </w:t>
      </w:r>
      <w:r w:rsidR="00A5392E">
        <w:t>awards</w:t>
      </w:r>
      <w:proofErr w:type="gramEnd"/>
      <w:r w:rsidR="00A5392E">
        <w:t xml:space="preserve">. </w:t>
      </w:r>
      <w:r w:rsidR="00BB3223">
        <w:t xml:space="preserve">If the defendant prevails, </w:t>
      </w:r>
      <w:r w:rsidRPr="004A1C81">
        <w:t xml:space="preserve">the Enforcement of Judgments Law </w:t>
      </w:r>
      <w:r w:rsidR="00BB3223">
        <w:t xml:space="preserve">will </w:t>
      </w:r>
      <w:r w:rsidRPr="004A1C81">
        <w:t>cut off</w:t>
      </w:r>
      <w:r w:rsidR="00A5392E">
        <w:t xml:space="preserve"> the </w:t>
      </w:r>
      <w:r w:rsidRPr="004A1C81">
        <w:t>plaintiff’s ability to move for all reasonable</w:t>
      </w:r>
      <w:r w:rsidR="00CB578F">
        <w:t>, post-judgment</w:t>
      </w:r>
      <w:r w:rsidRPr="004A1C81">
        <w:t xml:space="preserve"> appellate </w:t>
      </w:r>
      <w:r w:rsidR="00A5392E">
        <w:t xml:space="preserve">and </w:t>
      </w:r>
      <w:r w:rsidRPr="004A1C81">
        <w:t xml:space="preserve">enforcement attorney’s fees </w:t>
      </w:r>
      <w:r w:rsidR="00A5392E">
        <w:t xml:space="preserve">because the </w:t>
      </w:r>
      <w:r w:rsidRPr="004A1C81">
        <w:t>defendant rushe</w:t>
      </w:r>
      <w:r w:rsidR="00A5392E">
        <w:t>d</w:t>
      </w:r>
      <w:r w:rsidRPr="004A1C81">
        <w:t xml:space="preserve"> to pay the original judgment early, before </w:t>
      </w:r>
      <w:r w:rsidR="00A5392E">
        <w:t xml:space="preserve">all </w:t>
      </w:r>
      <w:r w:rsidRPr="004A1C81">
        <w:t>such fees c</w:t>
      </w:r>
      <w:r w:rsidR="00A5392E">
        <w:t xml:space="preserve">ould </w:t>
      </w:r>
      <w:r w:rsidRPr="004A1C81">
        <w:t xml:space="preserve">be </w:t>
      </w:r>
      <w:r w:rsidR="00A5392E">
        <w:t>awarded</w:t>
      </w:r>
      <w:r w:rsidR="00BB3223">
        <w:t xml:space="preserve"> as mandated under the Financial Elder Abuse law.</w:t>
      </w:r>
    </w:p>
    <w:p w:rsidR="00BB3223" w:rsidRPr="006B2C73" w:rsidRDefault="00BB3223" w:rsidP="0074498E">
      <w:pPr>
        <w:rPr>
          <w:b/>
        </w:rPr>
      </w:pPr>
    </w:p>
    <w:p w:rsidR="007B22C3" w:rsidRDefault="007B22C3" w:rsidP="007B22C3">
      <w:r>
        <w:t>The plaintiff’s Supreme Court Brief was filed October 30, 2013.  Following is the opening statement from that filing:</w:t>
      </w:r>
    </w:p>
    <w:p w:rsidR="007B22C3" w:rsidRDefault="007B22C3" w:rsidP="007B22C3"/>
    <w:p w:rsidR="007B22C3" w:rsidRDefault="007B22C3" w:rsidP="007B22C3">
      <w:pPr>
        <w:ind w:left="720"/>
      </w:pPr>
      <w:r>
        <w:t>This is a case about access to justice for</w:t>
      </w:r>
      <w:r w:rsidR="00A727ED">
        <w:t xml:space="preserve"> … </w:t>
      </w:r>
      <w:r w:rsidR="00827570">
        <w:t xml:space="preserve">[plaintiff] … </w:t>
      </w:r>
      <w:r w:rsidR="00A727ED">
        <w:t>(</w:t>
      </w:r>
      <w:r>
        <w:t>a mentally and physically disabled 78-year old, who cannot read or write), other victims of elder abuse and civil litigants whose goal is to right a wrong under a statute that authorizes attorney fees.  Public policy requires an attorney fee shifting statute when without one, an individual or group would not have access to justice.  In other words, they could not otherwise afford to right a wrong.  In essence, attorney fee shifting statutes are society’s safety net to protect those who need it most.</w:t>
      </w:r>
    </w:p>
    <w:p w:rsidR="007B22C3" w:rsidRDefault="007B22C3" w:rsidP="007B22C3">
      <w:pPr>
        <w:ind w:left="720"/>
      </w:pPr>
    </w:p>
    <w:p w:rsidR="008B07B8" w:rsidRDefault="007B22C3" w:rsidP="007B22C3">
      <w:pPr>
        <w:ind w:left="720"/>
      </w:pPr>
      <w:r>
        <w:t xml:space="preserve">After a jury </w:t>
      </w:r>
      <w:proofErr w:type="gramStart"/>
      <w:r>
        <w:t xml:space="preserve">trial, </w:t>
      </w:r>
      <w:r w:rsidR="00A727ED">
        <w:t>…</w:t>
      </w:r>
      <w:proofErr w:type="gramEnd"/>
      <w:r w:rsidR="00A727ED">
        <w:t xml:space="preserve"> [plaintiff] …</w:t>
      </w:r>
      <w:r>
        <w:t xml:space="preserve"> prevailed in an action for financial elder abuse </w:t>
      </w:r>
      <w:r w:rsidR="00A727ED">
        <w:t>…</w:t>
      </w:r>
      <w:r>
        <w:t xml:space="preserve"> Essentially, defendant, an attorney, intentionally defrauded an old woman with the competency of a child.  Plaintiff also prevailed in defending the judgment on defendant’s first appeal, and successfully brought a separate lawsuit against defendant to prevent her from transferring real property to third parties in an attempt to avoid satisfaction of the judgment.  As a result</w:t>
      </w:r>
      <w:r w:rsidRPr="008B07B8">
        <w:rPr>
          <w:b/>
          <w:i/>
        </w:rPr>
        <w:t>, defendant paid the judgment</w:t>
      </w:r>
      <w:r w:rsidR="003E3744">
        <w:t>.</w:t>
      </w:r>
      <w:r w:rsidR="008B07B8">
        <w:t xml:space="preserve"> [Emphasis added.]</w:t>
      </w:r>
    </w:p>
    <w:p w:rsidR="007B22C3" w:rsidRDefault="007B22C3" w:rsidP="007B22C3">
      <w:pPr>
        <w:ind w:left="720"/>
      </w:pPr>
      <w:r>
        <w:t xml:space="preserve"> </w:t>
      </w:r>
    </w:p>
    <w:p w:rsidR="008B71F5" w:rsidRDefault="006B458E" w:rsidP="00216134">
      <w:r>
        <w:t>Notably o</w:t>
      </w:r>
      <w:r w:rsidR="008B07B8" w:rsidRPr="008B07B8">
        <w:t xml:space="preserve">nly the </w:t>
      </w:r>
      <w:r w:rsidR="008B07B8" w:rsidRPr="008B07B8">
        <w:rPr>
          <w:i/>
        </w:rPr>
        <w:t>original</w:t>
      </w:r>
      <w:r w:rsidR="008B07B8" w:rsidRPr="008B07B8">
        <w:t xml:space="preserve"> judgment was paid. This is relevant because the Enforcement of Judgment statutes relied upon by the defendant require </w:t>
      </w:r>
      <w:r w:rsidR="008B07B8" w:rsidRPr="00733635">
        <w:rPr>
          <w:i/>
        </w:rPr>
        <w:t>full</w:t>
      </w:r>
      <w:r w:rsidR="00733635" w:rsidRPr="00733635">
        <w:rPr>
          <w:i/>
        </w:rPr>
        <w:t xml:space="preserve"> </w:t>
      </w:r>
      <w:r w:rsidR="008B07B8" w:rsidRPr="00733635">
        <w:rPr>
          <w:i/>
        </w:rPr>
        <w:t>satisfaction</w:t>
      </w:r>
      <w:r w:rsidR="008B07B8" w:rsidRPr="008B07B8">
        <w:t xml:space="preserve"> of the judgment (CCP Code §§ 658.070 and 685. 080) in order to bar payment of attorney’s fees as specified. </w:t>
      </w:r>
      <w:r w:rsidR="008B07B8">
        <w:t xml:space="preserve">Thus, at best, the defendant only made a </w:t>
      </w:r>
      <w:r w:rsidR="008B07B8" w:rsidRPr="008B07B8">
        <w:rPr>
          <w:i/>
        </w:rPr>
        <w:t>partial</w:t>
      </w:r>
      <w:r w:rsidR="008B07B8">
        <w:t xml:space="preserve"> payment </w:t>
      </w:r>
      <w:r w:rsidR="008B07B8" w:rsidRPr="008B07B8">
        <w:t xml:space="preserve">because the judgment had not yet been amended to incorporate all the mandatory attorney’s fees and costs required under the financial elder abuse statute, </w:t>
      </w:r>
      <w:proofErr w:type="spellStart"/>
      <w:r w:rsidR="008B07B8" w:rsidRPr="008B07B8">
        <w:t>Welf</w:t>
      </w:r>
      <w:proofErr w:type="spellEnd"/>
      <w:r w:rsidR="008B07B8" w:rsidRPr="008B07B8">
        <w:t xml:space="preserve">. &amp; Inst. C. §15657.5 (a) which states in relevant part:  </w:t>
      </w:r>
    </w:p>
    <w:p w:rsidR="008B07B8" w:rsidRDefault="008B07B8" w:rsidP="00216134"/>
    <w:p w:rsidR="008B07B8" w:rsidRDefault="008B07B8" w:rsidP="008B07B8">
      <w:pPr>
        <w:ind w:left="720"/>
      </w:pPr>
      <w:r>
        <w:t>15657.5</w:t>
      </w:r>
      <w:proofErr w:type="gramStart"/>
      <w:r>
        <w:t>.  (</w:t>
      </w:r>
      <w:proofErr w:type="gramEnd"/>
      <w:r>
        <w:t>a) Where it is proven by a preponderance of the evidence</w:t>
      </w:r>
    </w:p>
    <w:p w:rsidR="008B07B8" w:rsidRDefault="008B07B8" w:rsidP="008B07B8">
      <w:pPr>
        <w:ind w:left="720"/>
      </w:pPr>
      <w:proofErr w:type="gramStart"/>
      <w:r>
        <w:t>that</w:t>
      </w:r>
      <w:proofErr w:type="gramEnd"/>
      <w:r>
        <w:t xml:space="preserve"> a defendant is liable for financial abuse, as defined in Section</w:t>
      </w:r>
    </w:p>
    <w:p w:rsidR="008B07B8" w:rsidRDefault="008B07B8" w:rsidP="008B07B8">
      <w:pPr>
        <w:ind w:left="720"/>
      </w:pPr>
      <w:r>
        <w:lastRenderedPageBreak/>
        <w:t>15610.30, in addition to compensatory damages and all other remedies</w:t>
      </w:r>
    </w:p>
    <w:p w:rsidR="008B07B8" w:rsidRPr="008B07B8" w:rsidRDefault="008B07B8" w:rsidP="008B07B8">
      <w:pPr>
        <w:ind w:left="720"/>
        <w:rPr>
          <w:b/>
          <w:i/>
        </w:rPr>
      </w:pPr>
      <w:proofErr w:type="gramStart"/>
      <w:r>
        <w:t>otherwise</w:t>
      </w:r>
      <w:proofErr w:type="gramEnd"/>
      <w:r>
        <w:t xml:space="preserve"> provided by law, </w:t>
      </w:r>
      <w:r w:rsidRPr="008B07B8">
        <w:rPr>
          <w:b/>
          <w:i/>
        </w:rPr>
        <w:t>the court shall award to the plaintiff</w:t>
      </w:r>
    </w:p>
    <w:p w:rsidR="008B07B8" w:rsidRDefault="008B07B8" w:rsidP="008B07B8">
      <w:pPr>
        <w:ind w:left="720"/>
      </w:pPr>
      <w:proofErr w:type="gramStart"/>
      <w:r w:rsidRPr="008B07B8">
        <w:rPr>
          <w:b/>
          <w:i/>
        </w:rPr>
        <w:t>reasonable</w:t>
      </w:r>
      <w:proofErr w:type="gramEnd"/>
      <w:r w:rsidRPr="008B07B8">
        <w:rPr>
          <w:b/>
          <w:i/>
        </w:rPr>
        <w:t xml:space="preserve"> attorney's fees and costs</w:t>
      </w:r>
      <w:r>
        <w:t>.  [Emphasis added.]</w:t>
      </w:r>
    </w:p>
    <w:p w:rsidR="008B07B8" w:rsidRDefault="008B07B8" w:rsidP="00216134"/>
    <w:p w:rsidR="00CB578F" w:rsidRDefault="008B07B8" w:rsidP="00216134">
      <w:r>
        <w:t xml:space="preserve">After the defendant paid the original judgment, the </w:t>
      </w:r>
      <w:r w:rsidR="00733635">
        <w:t>p</w:t>
      </w:r>
      <w:r w:rsidR="00CB578F">
        <w:t xml:space="preserve">laintiff moved for reasonable attorney fees and costs incurred in the appeal and separate lawsuit.  The Alameda County Superior Court granted the victim plaintiff’s motion for fees (not costs).  </w:t>
      </w:r>
      <w:r w:rsidR="004A1C81">
        <w:t>But on de novo review</w:t>
      </w:r>
      <w:r>
        <w:t xml:space="preserve">, </w:t>
      </w:r>
      <w:r w:rsidR="002C3D58">
        <w:t>t</w:t>
      </w:r>
      <w:r w:rsidR="001620A1">
        <w:t xml:space="preserve">he </w:t>
      </w:r>
      <w:r w:rsidR="004A1C81">
        <w:t xml:space="preserve">First District </w:t>
      </w:r>
      <w:r w:rsidR="005F0F88">
        <w:t>Court of Appeal</w:t>
      </w:r>
      <w:r w:rsidR="004A1C81">
        <w:t>, 4</w:t>
      </w:r>
      <w:r w:rsidR="004A1C81" w:rsidRPr="004A1C81">
        <w:rPr>
          <w:vertAlign w:val="superscript"/>
        </w:rPr>
        <w:t>th</w:t>
      </w:r>
      <w:r w:rsidR="004A1C81">
        <w:t xml:space="preserve"> Division, </w:t>
      </w:r>
      <w:r w:rsidR="00CB578F">
        <w:t>reversed</w:t>
      </w:r>
      <w:r>
        <w:t xml:space="preserve"> in an unpublished opinion </w:t>
      </w:r>
      <w:r w:rsidR="00CB578F">
        <w:t xml:space="preserve">(Feb. 2, 2013, Case </w:t>
      </w:r>
      <w:proofErr w:type="gramStart"/>
      <w:r w:rsidR="00CB578F">
        <w:t>No</w:t>
      </w:r>
      <w:proofErr w:type="gramEnd"/>
      <w:r w:rsidR="00CB578F">
        <w:t xml:space="preserve">. A34337.)  </w:t>
      </w:r>
    </w:p>
    <w:p w:rsidR="00CB578F" w:rsidRDefault="00CB578F" w:rsidP="00216134"/>
    <w:p w:rsidR="00E9525F" w:rsidRDefault="00BB6E47" w:rsidP="00216134">
      <w:r>
        <w:t xml:space="preserve">By </w:t>
      </w:r>
      <w:r w:rsidR="00CB578F">
        <w:t xml:space="preserve">agreeing with the defendant, the </w:t>
      </w:r>
      <w:r w:rsidR="008B07B8">
        <w:t>1</w:t>
      </w:r>
      <w:r w:rsidR="008B07B8" w:rsidRPr="008B07B8">
        <w:rPr>
          <w:vertAlign w:val="superscript"/>
        </w:rPr>
        <w:t>st</w:t>
      </w:r>
      <w:r w:rsidR="008B07B8">
        <w:t xml:space="preserve"> DCA </w:t>
      </w:r>
      <w:r w:rsidR="00CB578F">
        <w:t xml:space="preserve">in effect </w:t>
      </w:r>
      <w:r w:rsidR="008B07B8">
        <w:t xml:space="preserve">found </w:t>
      </w:r>
      <w:r w:rsidR="002C3D58">
        <w:t>that the Enforcement of Judgment’s Law barred</w:t>
      </w:r>
      <w:r w:rsidR="00E9525F">
        <w:t xml:space="preserve"> the </w:t>
      </w:r>
      <w:r w:rsidR="002C3D58">
        <w:t>elder</w:t>
      </w:r>
      <w:r w:rsidR="00A16521">
        <w:t xml:space="preserve"> </w:t>
      </w:r>
      <w:r w:rsidR="002C3D58">
        <w:t xml:space="preserve">abuse victim from seeking </w:t>
      </w:r>
      <w:r w:rsidR="002C3D58" w:rsidRPr="005C45E0">
        <w:rPr>
          <w:i/>
        </w:rPr>
        <w:t>all</w:t>
      </w:r>
      <w:r w:rsidR="002C3D58">
        <w:t xml:space="preserve"> </w:t>
      </w:r>
      <w:r w:rsidR="00E9525F">
        <w:t xml:space="preserve">reasonable </w:t>
      </w:r>
      <w:r w:rsidR="002C3D58">
        <w:t xml:space="preserve">post-judgment appellate and enforcement related attorney’s fees and costs under </w:t>
      </w:r>
      <w:proofErr w:type="spellStart"/>
      <w:r w:rsidR="002C3D58">
        <w:t>Welf</w:t>
      </w:r>
      <w:proofErr w:type="spellEnd"/>
      <w:r w:rsidR="002C3D58">
        <w:t xml:space="preserve">. &amp; Inst. C. </w:t>
      </w:r>
      <w:r w:rsidR="00A16521" w:rsidRPr="00A62B80">
        <w:t>§</w:t>
      </w:r>
      <w:r w:rsidR="002C3D58">
        <w:t xml:space="preserve"> 15657.5, because the </w:t>
      </w:r>
      <w:r w:rsidR="00E86A94">
        <w:t xml:space="preserve">frail </w:t>
      </w:r>
      <w:r w:rsidR="00A16521">
        <w:t>v</w:t>
      </w:r>
      <w:r w:rsidR="002C3D58">
        <w:t xml:space="preserve">ictim’s abuser had rushed to pay the </w:t>
      </w:r>
      <w:r w:rsidR="008C2ECA">
        <w:t xml:space="preserve">original </w:t>
      </w:r>
      <w:r w:rsidR="002C3D58">
        <w:t xml:space="preserve">trial court judgment before all </w:t>
      </w:r>
      <w:r w:rsidR="00E9525F">
        <w:t xml:space="preserve">such fees </w:t>
      </w:r>
      <w:r w:rsidR="002C3D58">
        <w:t xml:space="preserve">could even be determined and applied for </w:t>
      </w:r>
      <w:r w:rsidR="005F0F88">
        <w:t xml:space="preserve">in a </w:t>
      </w:r>
      <w:r w:rsidR="002C3D58">
        <w:t>timely</w:t>
      </w:r>
      <w:r w:rsidR="005F0F88">
        <w:t xml:space="preserve"> manner</w:t>
      </w:r>
      <w:r w:rsidR="002C3D58">
        <w:t>.</w:t>
      </w:r>
      <w:r w:rsidR="00216134">
        <w:t xml:space="preserve">  </w:t>
      </w:r>
      <w:r>
        <w:t>According to the 1</w:t>
      </w:r>
      <w:r w:rsidRPr="00BB6E47">
        <w:rPr>
          <w:vertAlign w:val="superscript"/>
        </w:rPr>
        <w:t>st</w:t>
      </w:r>
      <w:r>
        <w:t xml:space="preserve"> DCA, </w:t>
      </w:r>
      <w:r w:rsidR="00E9525F">
        <w:t xml:space="preserve">the plaintiff’s motion for such fees was untimely because it followed defendant’s full satisfaction of the </w:t>
      </w:r>
      <w:r>
        <w:t xml:space="preserve">original </w:t>
      </w:r>
      <w:r w:rsidR="00E9525F">
        <w:t>judgment.</w:t>
      </w:r>
    </w:p>
    <w:p w:rsidR="00E9525F" w:rsidRDefault="00E9525F" w:rsidP="00216134"/>
    <w:p w:rsidR="00D34AFE" w:rsidRDefault="00D34AFE" w:rsidP="00D34AFE">
      <w:r>
        <w:t xml:space="preserve">The </w:t>
      </w:r>
      <w:r w:rsidR="007E132F">
        <w:t xml:space="preserve">official </w:t>
      </w:r>
      <w:r>
        <w:t xml:space="preserve">issue before the </w:t>
      </w:r>
      <w:r w:rsidR="000D67D5">
        <w:t xml:space="preserve">California </w:t>
      </w:r>
      <w:r>
        <w:t>Supreme Court is as follows:  “</w:t>
      </w:r>
      <w:r w:rsidRPr="00A62B80">
        <w:t>Is a trial court award of statutorily-mandated fees and costs incurred on appeal subject to the Enforcement of Judgments Statutes (Code Civ. Proc., § 685.040 et seq.) if the statutory authority underlying the award is the Elder Abuse Act (</w:t>
      </w:r>
      <w:proofErr w:type="spellStart"/>
      <w:r w:rsidRPr="00A62B80">
        <w:t>Welf</w:t>
      </w:r>
      <w:proofErr w:type="spellEnd"/>
      <w:r w:rsidRPr="00A62B80">
        <w:t xml:space="preserve">. </w:t>
      </w:r>
      <w:proofErr w:type="gramStart"/>
      <w:r w:rsidRPr="00A62B80">
        <w:t>&amp; Inst. Code, § 15600 et seq.)?</w:t>
      </w:r>
      <w:proofErr w:type="gramEnd"/>
      <w:r w:rsidR="0074498E">
        <w:t xml:space="preserve"> </w:t>
      </w:r>
      <w:r>
        <w:t xml:space="preserve"> </w:t>
      </w:r>
    </w:p>
    <w:p w:rsidR="0074498E" w:rsidRDefault="0074498E" w:rsidP="00D34AFE"/>
    <w:p w:rsidR="002260EC" w:rsidRDefault="008B0603" w:rsidP="008B0603">
      <w:r>
        <w:t>Even though the issue is narrowly framed to only address the Elder Abuse Act, if the Supreme Court upholds the 1</w:t>
      </w:r>
      <w:r w:rsidRPr="008B0603">
        <w:rPr>
          <w:vertAlign w:val="superscript"/>
        </w:rPr>
        <w:t>st</w:t>
      </w:r>
      <w:r>
        <w:t xml:space="preserve"> DCA’s ruling, it will encourage all defendants such as the elder abuser </w:t>
      </w:r>
      <w:r w:rsidR="00132DEE">
        <w:t xml:space="preserve">defendant </w:t>
      </w:r>
      <w:r>
        <w:t xml:space="preserve">in the </w:t>
      </w:r>
      <w:r w:rsidRPr="00A727ED">
        <w:t>McQueen</w:t>
      </w:r>
      <w:r>
        <w:t xml:space="preserve"> case whose evasive actions forced the plaintiff victim to undertake appellate and enforcement related actions</w:t>
      </w:r>
      <w:r w:rsidR="00AE6336">
        <w:t xml:space="preserve"> in order </w:t>
      </w:r>
      <w:r>
        <w:t>to protect herself.  Such d</w:t>
      </w:r>
      <w:r w:rsidRPr="009D5D4D">
        <w:t xml:space="preserve">efendants </w:t>
      </w:r>
      <w:r>
        <w:t xml:space="preserve">would </w:t>
      </w:r>
      <w:r w:rsidR="00BB6E47">
        <w:t xml:space="preserve">be handed </w:t>
      </w:r>
      <w:r w:rsidR="00843021">
        <w:t>a template for violating the underlying protective statutory schemes with impunity</w:t>
      </w:r>
      <w:r w:rsidR="002260EC">
        <w:t xml:space="preserve">:  </w:t>
      </w:r>
      <w:r w:rsidR="00843021">
        <w:t xml:space="preserve"> </w:t>
      </w:r>
    </w:p>
    <w:p w:rsidR="002260EC" w:rsidRDefault="002260EC" w:rsidP="008B0603"/>
    <w:p w:rsidR="00D03296" w:rsidRPr="00BB6E47" w:rsidRDefault="00843021" w:rsidP="008B0603">
      <w:pPr>
        <w:pStyle w:val="ListParagraph"/>
        <w:numPr>
          <w:ilvl w:val="0"/>
          <w:numId w:val="3"/>
        </w:numPr>
        <w:rPr>
          <w:rFonts w:ascii="Times New Roman" w:hAnsi="Times New Roman" w:cs="Times New Roman"/>
          <w:sz w:val="24"/>
          <w:szCs w:val="24"/>
        </w:rPr>
      </w:pPr>
      <w:r w:rsidRPr="00BB6E47">
        <w:rPr>
          <w:rFonts w:ascii="Times New Roman" w:hAnsi="Times New Roman" w:cs="Times New Roman"/>
          <w:sz w:val="24"/>
          <w:szCs w:val="24"/>
        </w:rPr>
        <w:t>As long as plaintiffs could not be assured of their ability to recover all necessary</w:t>
      </w:r>
      <w:r w:rsidR="002260EC" w:rsidRPr="00BB6E47">
        <w:rPr>
          <w:rFonts w:ascii="Times New Roman" w:hAnsi="Times New Roman" w:cs="Times New Roman"/>
          <w:sz w:val="24"/>
          <w:szCs w:val="24"/>
        </w:rPr>
        <w:t xml:space="preserve"> and</w:t>
      </w:r>
      <w:r w:rsidRPr="00BB6E47">
        <w:rPr>
          <w:rFonts w:ascii="Times New Roman" w:hAnsi="Times New Roman" w:cs="Times New Roman"/>
          <w:sz w:val="24"/>
          <w:szCs w:val="24"/>
        </w:rPr>
        <w:t xml:space="preserve"> reasonable </w:t>
      </w:r>
      <w:r w:rsidR="00BB6E47" w:rsidRPr="00BB6E47">
        <w:rPr>
          <w:rFonts w:ascii="Times New Roman" w:hAnsi="Times New Roman" w:cs="Times New Roman"/>
          <w:sz w:val="24"/>
          <w:szCs w:val="24"/>
        </w:rPr>
        <w:t xml:space="preserve">post-judgment </w:t>
      </w:r>
      <w:r w:rsidRPr="00BB6E47">
        <w:rPr>
          <w:rFonts w:ascii="Times New Roman" w:hAnsi="Times New Roman" w:cs="Times New Roman"/>
          <w:sz w:val="24"/>
          <w:szCs w:val="24"/>
        </w:rPr>
        <w:t xml:space="preserve">appellate and enforcement related attorney’s fees, defendants </w:t>
      </w:r>
      <w:r w:rsidR="00BB6E47" w:rsidRPr="00BB6E47">
        <w:rPr>
          <w:rFonts w:ascii="Times New Roman" w:hAnsi="Times New Roman" w:cs="Times New Roman"/>
          <w:sz w:val="24"/>
          <w:szCs w:val="24"/>
        </w:rPr>
        <w:t>would have</w:t>
      </w:r>
      <w:r w:rsidR="00625D94">
        <w:rPr>
          <w:rFonts w:ascii="Times New Roman" w:hAnsi="Times New Roman" w:cs="Times New Roman"/>
          <w:sz w:val="24"/>
          <w:szCs w:val="24"/>
        </w:rPr>
        <w:t xml:space="preserve"> an </w:t>
      </w:r>
      <w:r w:rsidR="00BB6E47" w:rsidRPr="00BB6E47">
        <w:rPr>
          <w:rFonts w:ascii="Times New Roman" w:hAnsi="Times New Roman" w:cs="Times New Roman"/>
          <w:sz w:val="24"/>
          <w:szCs w:val="24"/>
        </w:rPr>
        <w:t xml:space="preserve">incentive to </w:t>
      </w:r>
      <w:r w:rsidRPr="00BB6E47">
        <w:rPr>
          <w:rFonts w:ascii="Times New Roman" w:hAnsi="Times New Roman" w:cs="Times New Roman"/>
          <w:sz w:val="24"/>
          <w:szCs w:val="24"/>
        </w:rPr>
        <w:t xml:space="preserve">take any and all steps to avoid </w:t>
      </w:r>
      <w:r w:rsidR="00D3308D" w:rsidRPr="00BB6E47">
        <w:rPr>
          <w:rFonts w:ascii="Times New Roman" w:hAnsi="Times New Roman" w:cs="Times New Roman"/>
          <w:sz w:val="24"/>
          <w:szCs w:val="24"/>
        </w:rPr>
        <w:t xml:space="preserve">satisfying </w:t>
      </w:r>
      <w:r w:rsidRPr="00BB6E47">
        <w:rPr>
          <w:rFonts w:ascii="Times New Roman" w:hAnsi="Times New Roman" w:cs="Times New Roman"/>
          <w:sz w:val="24"/>
          <w:szCs w:val="24"/>
        </w:rPr>
        <w:t xml:space="preserve">the </w:t>
      </w:r>
      <w:r w:rsidR="00D3308D" w:rsidRPr="00BB6E47">
        <w:rPr>
          <w:rFonts w:ascii="Times New Roman" w:hAnsi="Times New Roman" w:cs="Times New Roman"/>
          <w:sz w:val="24"/>
          <w:szCs w:val="24"/>
        </w:rPr>
        <w:t xml:space="preserve">original </w:t>
      </w:r>
      <w:r w:rsidRPr="00BB6E47">
        <w:rPr>
          <w:rFonts w:ascii="Times New Roman" w:hAnsi="Times New Roman" w:cs="Times New Roman"/>
          <w:sz w:val="24"/>
          <w:szCs w:val="24"/>
        </w:rPr>
        <w:t xml:space="preserve">judgment knowing that their victims would never be able to pay the related appellate and enforcement fees out of their own pockets. </w:t>
      </w:r>
      <w:r w:rsidR="002260EC" w:rsidRPr="00BB6E47">
        <w:rPr>
          <w:rFonts w:ascii="Times New Roman" w:hAnsi="Times New Roman" w:cs="Times New Roman"/>
          <w:sz w:val="24"/>
          <w:szCs w:val="24"/>
        </w:rPr>
        <w:t xml:space="preserve"> </w:t>
      </w:r>
    </w:p>
    <w:p w:rsidR="002260EC" w:rsidRPr="00D03296" w:rsidRDefault="002260EC" w:rsidP="00D03296">
      <w:pPr>
        <w:pStyle w:val="ListParagraph"/>
        <w:numPr>
          <w:ilvl w:val="0"/>
          <w:numId w:val="3"/>
        </w:numPr>
        <w:rPr>
          <w:rFonts w:ascii="Times New Roman" w:hAnsi="Times New Roman" w:cs="Times New Roman"/>
          <w:sz w:val="24"/>
          <w:szCs w:val="24"/>
        </w:rPr>
      </w:pPr>
      <w:r w:rsidRPr="00BB6E47">
        <w:rPr>
          <w:rFonts w:ascii="Times New Roman" w:hAnsi="Times New Roman" w:cs="Times New Roman"/>
          <w:sz w:val="24"/>
          <w:szCs w:val="24"/>
        </w:rPr>
        <w:t xml:space="preserve">Such defendants would not even have to rush to </w:t>
      </w:r>
      <w:r w:rsidR="00D3308D" w:rsidRPr="00BB6E47">
        <w:rPr>
          <w:rFonts w:ascii="Times New Roman" w:hAnsi="Times New Roman" w:cs="Times New Roman"/>
          <w:sz w:val="24"/>
          <w:szCs w:val="24"/>
        </w:rPr>
        <w:t xml:space="preserve">satisfy </w:t>
      </w:r>
      <w:r w:rsidRPr="00BB6E47">
        <w:rPr>
          <w:rFonts w:ascii="Times New Roman" w:hAnsi="Times New Roman" w:cs="Times New Roman"/>
          <w:sz w:val="24"/>
          <w:szCs w:val="24"/>
        </w:rPr>
        <w:t xml:space="preserve">the original judgment early to avoid a </w:t>
      </w:r>
      <w:r w:rsidR="00D03296" w:rsidRPr="00BB6E47">
        <w:rPr>
          <w:rFonts w:ascii="Times New Roman" w:hAnsi="Times New Roman" w:cs="Times New Roman"/>
          <w:sz w:val="24"/>
          <w:szCs w:val="24"/>
        </w:rPr>
        <w:t xml:space="preserve">potential </w:t>
      </w:r>
      <w:r w:rsidRPr="00BB6E47">
        <w:rPr>
          <w:rFonts w:ascii="Times New Roman" w:hAnsi="Times New Roman" w:cs="Times New Roman"/>
          <w:sz w:val="24"/>
          <w:szCs w:val="24"/>
        </w:rPr>
        <w:t>downstream award of post</w:t>
      </w:r>
      <w:r w:rsidR="00D3308D" w:rsidRPr="00BB6E47">
        <w:rPr>
          <w:rFonts w:ascii="Times New Roman" w:hAnsi="Times New Roman" w:cs="Times New Roman"/>
          <w:sz w:val="24"/>
          <w:szCs w:val="24"/>
        </w:rPr>
        <w:t>-</w:t>
      </w:r>
      <w:r w:rsidRPr="00BB6E47">
        <w:rPr>
          <w:rFonts w:ascii="Times New Roman" w:hAnsi="Times New Roman" w:cs="Times New Roman"/>
          <w:sz w:val="24"/>
          <w:szCs w:val="24"/>
        </w:rPr>
        <w:t xml:space="preserve">judgment appellate and enforcement </w:t>
      </w:r>
      <w:r w:rsidR="00733635">
        <w:rPr>
          <w:rFonts w:ascii="Times New Roman" w:hAnsi="Times New Roman" w:cs="Times New Roman"/>
          <w:sz w:val="24"/>
          <w:szCs w:val="24"/>
        </w:rPr>
        <w:t xml:space="preserve">attorney’s </w:t>
      </w:r>
      <w:r w:rsidRPr="00BB6E47">
        <w:rPr>
          <w:rFonts w:ascii="Times New Roman" w:hAnsi="Times New Roman" w:cs="Times New Roman"/>
          <w:sz w:val="24"/>
          <w:szCs w:val="24"/>
        </w:rPr>
        <w:t>fees.  As long</w:t>
      </w:r>
      <w:r w:rsidRPr="00BB6E47">
        <w:rPr>
          <w:rFonts w:ascii="Times New Roman" w:hAnsi="Times New Roman" w:cs="Times New Roman"/>
          <w:sz w:val="28"/>
          <w:szCs w:val="24"/>
        </w:rPr>
        <w:t xml:space="preserve"> </w:t>
      </w:r>
      <w:r w:rsidRPr="00D03296">
        <w:rPr>
          <w:rFonts w:ascii="Times New Roman" w:hAnsi="Times New Roman" w:cs="Times New Roman"/>
          <w:sz w:val="24"/>
          <w:szCs w:val="24"/>
        </w:rPr>
        <w:t xml:space="preserve">as </w:t>
      </w:r>
      <w:r w:rsidR="00733635">
        <w:rPr>
          <w:rFonts w:ascii="Times New Roman" w:hAnsi="Times New Roman" w:cs="Times New Roman"/>
          <w:sz w:val="24"/>
          <w:szCs w:val="24"/>
        </w:rPr>
        <w:t xml:space="preserve">such defendants </w:t>
      </w:r>
      <w:r w:rsidRPr="00D03296">
        <w:rPr>
          <w:rFonts w:ascii="Times New Roman" w:hAnsi="Times New Roman" w:cs="Times New Roman"/>
          <w:sz w:val="24"/>
          <w:szCs w:val="24"/>
        </w:rPr>
        <w:t>ha</w:t>
      </w:r>
      <w:r w:rsidR="00D3308D">
        <w:rPr>
          <w:rFonts w:ascii="Times New Roman" w:hAnsi="Times New Roman" w:cs="Times New Roman"/>
          <w:sz w:val="24"/>
          <w:szCs w:val="24"/>
        </w:rPr>
        <w:t xml:space="preserve">d </w:t>
      </w:r>
      <w:r w:rsidRPr="00D03296">
        <w:rPr>
          <w:rFonts w:ascii="Times New Roman" w:hAnsi="Times New Roman" w:cs="Times New Roman"/>
          <w:sz w:val="24"/>
          <w:szCs w:val="24"/>
        </w:rPr>
        <w:t xml:space="preserve">the </w:t>
      </w:r>
      <w:r w:rsidRPr="00625D94">
        <w:rPr>
          <w:rFonts w:ascii="Times New Roman" w:hAnsi="Times New Roman" w:cs="Times New Roman"/>
          <w:i/>
          <w:sz w:val="24"/>
          <w:szCs w:val="24"/>
        </w:rPr>
        <w:t>right</w:t>
      </w:r>
      <w:r w:rsidRPr="00D03296">
        <w:rPr>
          <w:rFonts w:ascii="Times New Roman" w:hAnsi="Times New Roman" w:cs="Times New Roman"/>
          <w:sz w:val="24"/>
          <w:szCs w:val="24"/>
        </w:rPr>
        <w:t xml:space="preserve"> to pay </w:t>
      </w:r>
      <w:r w:rsidR="00867F30">
        <w:rPr>
          <w:rFonts w:ascii="Times New Roman" w:hAnsi="Times New Roman" w:cs="Times New Roman"/>
          <w:sz w:val="24"/>
          <w:szCs w:val="24"/>
        </w:rPr>
        <w:t xml:space="preserve">the original judgment </w:t>
      </w:r>
      <w:r w:rsidRPr="00D03296">
        <w:rPr>
          <w:rFonts w:ascii="Times New Roman" w:hAnsi="Times New Roman" w:cs="Times New Roman"/>
          <w:sz w:val="24"/>
          <w:szCs w:val="24"/>
        </w:rPr>
        <w:t xml:space="preserve">early and </w:t>
      </w:r>
      <w:r w:rsidR="00625D94">
        <w:rPr>
          <w:rFonts w:ascii="Times New Roman" w:hAnsi="Times New Roman" w:cs="Times New Roman"/>
          <w:sz w:val="24"/>
          <w:szCs w:val="24"/>
        </w:rPr>
        <w:t xml:space="preserve">thus </w:t>
      </w:r>
      <w:r w:rsidRPr="00D03296">
        <w:rPr>
          <w:rFonts w:ascii="Times New Roman" w:hAnsi="Times New Roman" w:cs="Times New Roman"/>
          <w:sz w:val="24"/>
          <w:szCs w:val="24"/>
        </w:rPr>
        <w:t xml:space="preserve">avoid </w:t>
      </w:r>
      <w:r w:rsidR="00867F30">
        <w:rPr>
          <w:rFonts w:ascii="Times New Roman" w:hAnsi="Times New Roman" w:cs="Times New Roman"/>
          <w:sz w:val="24"/>
          <w:szCs w:val="24"/>
        </w:rPr>
        <w:t xml:space="preserve">responsibility for all post-judgment </w:t>
      </w:r>
      <w:proofErr w:type="gramStart"/>
      <w:r w:rsidR="00867F30">
        <w:rPr>
          <w:rFonts w:ascii="Times New Roman" w:hAnsi="Times New Roman" w:cs="Times New Roman"/>
          <w:sz w:val="24"/>
          <w:szCs w:val="24"/>
        </w:rPr>
        <w:t>attorney’s</w:t>
      </w:r>
      <w:proofErr w:type="gramEnd"/>
      <w:r w:rsidR="00867F30">
        <w:rPr>
          <w:rFonts w:ascii="Times New Roman" w:hAnsi="Times New Roman" w:cs="Times New Roman"/>
          <w:sz w:val="24"/>
          <w:szCs w:val="24"/>
        </w:rPr>
        <w:t xml:space="preserve"> </w:t>
      </w:r>
      <w:r w:rsidRPr="00D03296">
        <w:rPr>
          <w:rFonts w:ascii="Times New Roman" w:hAnsi="Times New Roman" w:cs="Times New Roman"/>
          <w:sz w:val="24"/>
          <w:szCs w:val="24"/>
        </w:rPr>
        <w:t xml:space="preserve">fees, plaintiffs would </w:t>
      </w:r>
      <w:r w:rsidR="00BB6E47">
        <w:rPr>
          <w:rFonts w:ascii="Times New Roman" w:hAnsi="Times New Roman" w:cs="Times New Roman"/>
          <w:sz w:val="24"/>
          <w:szCs w:val="24"/>
        </w:rPr>
        <w:t xml:space="preserve">be strongly discouraged from </w:t>
      </w:r>
      <w:r w:rsidRPr="00D03296">
        <w:rPr>
          <w:rFonts w:ascii="Times New Roman" w:hAnsi="Times New Roman" w:cs="Times New Roman"/>
          <w:sz w:val="24"/>
          <w:szCs w:val="24"/>
        </w:rPr>
        <w:t xml:space="preserve">incurring </w:t>
      </w:r>
      <w:r w:rsidR="00D03296">
        <w:rPr>
          <w:rFonts w:ascii="Times New Roman" w:hAnsi="Times New Roman" w:cs="Times New Roman"/>
          <w:sz w:val="24"/>
          <w:szCs w:val="24"/>
        </w:rPr>
        <w:t xml:space="preserve">them </w:t>
      </w:r>
      <w:r w:rsidRPr="00D03296">
        <w:rPr>
          <w:rFonts w:ascii="Times New Roman" w:hAnsi="Times New Roman" w:cs="Times New Roman"/>
          <w:sz w:val="24"/>
          <w:szCs w:val="24"/>
        </w:rPr>
        <w:t>in the first place.</w:t>
      </w:r>
    </w:p>
    <w:p w:rsidR="00041464" w:rsidRDefault="00843021" w:rsidP="00BB6E47">
      <w:r w:rsidRPr="00D03296">
        <w:t>The legislative history of the elder abuse attorney fee shifting statute reveals that it was adopted, in</w:t>
      </w:r>
      <w:r w:rsidR="00041464">
        <w:t xml:space="preserve"> major</w:t>
      </w:r>
      <w:r w:rsidRPr="00D03296">
        <w:t xml:space="preserve"> part, to provide an incentive for attorneys to take such cases</w:t>
      </w:r>
      <w:r w:rsidR="00D3308D">
        <w:t xml:space="preserve"> in order to </w:t>
      </w:r>
      <w:r w:rsidR="00D3308D" w:rsidRPr="00205563">
        <w:t xml:space="preserve">protect </w:t>
      </w:r>
      <w:r w:rsidR="00723CA5" w:rsidRPr="00205563">
        <w:t>a vulnerable and needy class of persons</w:t>
      </w:r>
      <w:r w:rsidRPr="00205563">
        <w:t>.</w:t>
      </w:r>
    </w:p>
    <w:p w:rsidR="00041464" w:rsidRDefault="00843021" w:rsidP="00BB6E47">
      <w:r w:rsidRPr="00205563">
        <w:t xml:space="preserve"> </w:t>
      </w:r>
    </w:p>
    <w:p w:rsidR="00041464" w:rsidRDefault="00041464" w:rsidP="00041464">
      <w:proofErr w:type="gramStart"/>
      <w:r>
        <w:t xml:space="preserve">Subdivisions (a), (h) and (j) of </w:t>
      </w:r>
      <w:proofErr w:type="spellStart"/>
      <w:r>
        <w:t>Welf</w:t>
      </w:r>
      <w:proofErr w:type="spellEnd"/>
      <w:r>
        <w:t>.</w:t>
      </w:r>
      <w:proofErr w:type="gramEnd"/>
      <w:r>
        <w:t xml:space="preserve"> &amp; Inst. Code § 15600 read as follows:</w:t>
      </w:r>
    </w:p>
    <w:p w:rsidR="00041464" w:rsidRDefault="00041464" w:rsidP="00041464">
      <w:pPr>
        <w:ind w:left="720"/>
      </w:pPr>
      <w:r>
        <w:lastRenderedPageBreak/>
        <w:t xml:space="preserve">   (a) The Legislature recognizes that elders and dependent adults may be subjected to abuse, neglect, or abandonment and that </w:t>
      </w:r>
      <w:r w:rsidRPr="00041464">
        <w:rPr>
          <w:b/>
          <w:i/>
        </w:rPr>
        <w:t>this state has a responsibility to protect these persons</w:t>
      </w:r>
      <w:r>
        <w:t>. … (Emphasis added.)</w:t>
      </w:r>
    </w:p>
    <w:p w:rsidR="00041464" w:rsidRDefault="00041464" w:rsidP="00041464">
      <w:pPr>
        <w:ind w:left="720"/>
      </w:pPr>
      <w:r>
        <w:t xml:space="preserve">   (h) The Legislature further finds and declares that </w:t>
      </w:r>
      <w:r w:rsidRPr="00041464">
        <w:rPr>
          <w:b/>
          <w:i/>
        </w:rPr>
        <w:t xml:space="preserve">infirm elderly persons and dependent adults are a disadvantaged </w:t>
      </w:r>
      <w:proofErr w:type="gramStart"/>
      <w:r w:rsidRPr="00041464">
        <w:rPr>
          <w:b/>
          <w:i/>
        </w:rPr>
        <w:t>class</w:t>
      </w:r>
      <w:r>
        <w:t>, that</w:t>
      </w:r>
      <w:proofErr w:type="gramEnd"/>
      <w:r>
        <w:t xml:space="preserve"> cases of abuse of these persons are seldom prosecuted as criminal matters, and </w:t>
      </w:r>
      <w:r w:rsidRPr="00041464">
        <w:rPr>
          <w:b/>
          <w:i/>
        </w:rPr>
        <w:t>few civil cases are brought</w:t>
      </w:r>
      <w:r>
        <w:t xml:space="preserve"> </w:t>
      </w:r>
      <w:r w:rsidRPr="00041464">
        <w:rPr>
          <w:b/>
          <w:i/>
        </w:rPr>
        <w:t>in connection with this abuse due to</w:t>
      </w:r>
      <w:r>
        <w:t xml:space="preserve"> problems of proof, court delays, and </w:t>
      </w:r>
      <w:r w:rsidRPr="00041464">
        <w:rPr>
          <w:b/>
          <w:i/>
        </w:rPr>
        <w:t>the lack of incentives to prosecute these suits</w:t>
      </w:r>
      <w:r>
        <w:t>.  (Emphasis added.) …</w:t>
      </w:r>
    </w:p>
    <w:p w:rsidR="00041464" w:rsidRDefault="00041464" w:rsidP="00041464">
      <w:pPr>
        <w:ind w:left="720"/>
      </w:pPr>
      <w:r>
        <w:t xml:space="preserve">   (j) It is further the intent of the Legislature … to enable interested </w:t>
      </w:r>
      <w:r w:rsidRPr="00041464">
        <w:rPr>
          <w:b/>
          <w:i/>
        </w:rPr>
        <w:t xml:space="preserve">persons to engage attorneys </w:t>
      </w:r>
      <w:r>
        <w:t>to take up the cause of abused elderly persons and dependent adults.  (Emphasis added.)</w:t>
      </w:r>
    </w:p>
    <w:p w:rsidR="00041464" w:rsidRDefault="00041464" w:rsidP="00041464"/>
    <w:p w:rsidR="00041464" w:rsidRDefault="00041464" w:rsidP="00041464">
      <w:r>
        <w:t xml:space="preserve">The 1991 California Legislature adopted the state’s first mandatory elder abuse attorney’s fees and costs law applicable to physical abuse, neglect and “fiduciary” abuse in Welfare &amp; Institutions Code Section 15657 (a) in  Stats. </w:t>
      </w:r>
      <w:proofErr w:type="gramStart"/>
      <w:r>
        <w:t>1991, c. 774 (SB 679), Sec. 3.</w:t>
      </w:r>
      <w:proofErr w:type="gramEnd"/>
      <w:r>
        <w:t xml:space="preserve">  Thirteen years later in 2004, § 15657 was amended to strike the fiduciary abuse terms in 15657 and a new § 15657.5 was added to require the same “reasonable attorney’s fees and costs” for elder “financial abuse” cases. </w:t>
      </w:r>
      <w:proofErr w:type="gramStart"/>
      <w:r>
        <w:t>(Stats. 2004, c. 886 (AB 2611) Sec. 3.</w:t>
      </w:r>
      <w:proofErr w:type="gramEnd"/>
      <w:r>
        <w:t xml:space="preserve">  </w:t>
      </w:r>
      <w:proofErr w:type="gramStart"/>
      <w:r>
        <w:t>Sec. 4.).</w:t>
      </w:r>
      <w:proofErr w:type="gramEnd"/>
    </w:p>
    <w:p w:rsidR="00041464" w:rsidRDefault="00041464" w:rsidP="00041464"/>
    <w:p w:rsidR="00041464" w:rsidRDefault="00041464" w:rsidP="00041464">
      <w:r>
        <w:t xml:space="preserve">The 1991 legislative history reveals that the primary problem addressed by the Legislature in SB 679 was that the award of attorney’s fees and costs in all elder abuse cases was only discretionary, not mandatory. Furthermore, such attorney’s fees could only be awarded out of the victims’ award which was often small to begin with. Also, elder abuse cases were often hard to prove. The 1991 Legislature believed that these problems impeded victims’ ability to sue successfully because there was </w:t>
      </w:r>
      <w:r w:rsidRPr="00041464">
        <w:rPr>
          <w:i/>
        </w:rPr>
        <w:t>insufficient incentive</w:t>
      </w:r>
      <w:r>
        <w:t xml:space="preserve"> for plaintiffs’ attorneys to take such cases on contingency.  The remedy chosen by the 1991 Legislature to address these problems was to eliminate the malfunctioning discretionary method of awarding attorney’s fees and costs in such cases and to require the abusers to pay them.  </w:t>
      </w:r>
      <w:proofErr w:type="gramStart"/>
      <w:r>
        <w:t>(E.g., see the Senate Judiciary Committee on SB 679 (Mello), reflecting “author’s amendments to be offered in committee”, published May 8, 1991, Hearing date: April 30, 1991, 1991-92 Regular Session.)</w:t>
      </w:r>
      <w:proofErr w:type="gramEnd"/>
      <w:r>
        <w:t xml:space="preserve">  (My company, Legislative Research &amp; Intent LLC provided the plaintiff with legislative history research and consulting services.)</w:t>
      </w:r>
    </w:p>
    <w:p w:rsidR="00041464" w:rsidRDefault="00041464" w:rsidP="00BB6E47"/>
    <w:p w:rsidR="002260EC" w:rsidRDefault="002260EC" w:rsidP="00BB6E47">
      <w:r w:rsidRPr="00205563">
        <w:t>Th</w:t>
      </w:r>
      <w:r w:rsidR="00041464">
        <w:t xml:space="preserve">is incentive so carefully wrought by the 1991 Legislature to encourage attorneys to take elder abuse cases </w:t>
      </w:r>
      <w:r w:rsidR="00843021" w:rsidRPr="00205563">
        <w:t xml:space="preserve">would </w:t>
      </w:r>
      <w:r w:rsidR="00FE267C">
        <w:t>at least</w:t>
      </w:r>
      <w:r w:rsidR="00041464">
        <w:t xml:space="preserve"> be</w:t>
      </w:r>
      <w:r w:rsidR="00FE267C">
        <w:t xml:space="preserve"> partially </w:t>
      </w:r>
      <w:r w:rsidRPr="00205563">
        <w:t>extinguished if the 1</w:t>
      </w:r>
      <w:r w:rsidRPr="00205563">
        <w:rPr>
          <w:vertAlign w:val="superscript"/>
        </w:rPr>
        <w:t>st</w:t>
      </w:r>
      <w:r w:rsidRPr="00205563">
        <w:t xml:space="preserve"> DCA’s ruling is upheld by the California Supreme Court. Will th</w:t>
      </w:r>
      <w:r w:rsidR="00BB6E47">
        <w:t xml:space="preserve">at Court </w:t>
      </w:r>
      <w:r w:rsidRPr="00205563">
        <w:t>hand these types of defendants a sword, allowing them to argue that the Enforcement of Judgments Law cuts off their victims’ ability to move for all reasonable</w:t>
      </w:r>
      <w:r w:rsidR="00625D94">
        <w:t xml:space="preserve">, post-judgment </w:t>
      </w:r>
      <w:r w:rsidRPr="00205563">
        <w:t>appellate or enforcement attorney’s fees</w:t>
      </w:r>
      <w:r w:rsidR="00BB6E47">
        <w:t xml:space="preserve"> </w:t>
      </w:r>
      <w:r w:rsidR="008F1E58">
        <w:t xml:space="preserve">whenever a </w:t>
      </w:r>
      <w:r w:rsidR="00BB6E47">
        <w:t xml:space="preserve">defendant rushes to </w:t>
      </w:r>
      <w:r w:rsidR="00625D94">
        <w:t xml:space="preserve">satisfy </w:t>
      </w:r>
      <w:r w:rsidR="00BB6E47">
        <w:t>the original judgment first</w:t>
      </w:r>
      <w:r w:rsidR="00625D94">
        <w:t>,</w:t>
      </w:r>
      <w:r w:rsidR="00BB6E47">
        <w:t xml:space="preserve"> before a court </w:t>
      </w:r>
      <w:r w:rsidR="00625D94">
        <w:t xml:space="preserve">has </w:t>
      </w:r>
      <w:r w:rsidR="00BB6E47">
        <w:t xml:space="preserve">the opportunity to award such fees? </w:t>
      </w:r>
      <w:r w:rsidR="00AC1E06">
        <w:t xml:space="preserve">If so, </w:t>
      </w:r>
      <w:r w:rsidR="00625D94">
        <w:t xml:space="preserve">the Legislature would </w:t>
      </w:r>
      <w:r w:rsidR="00733635">
        <w:t xml:space="preserve">probably </w:t>
      </w:r>
      <w:r w:rsidR="00625D94">
        <w:t xml:space="preserve">be </w:t>
      </w:r>
      <w:r w:rsidR="00AC1E06">
        <w:t xml:space="preserve">urged </w:t>
      </w:r>
      <w:r w:rsidR="00B35C6E">
        <w:t xml:space="preserve">to </w:t>
      </w:r>
      <w:r w:rsidR="00F26381">
        <w:t xml:space="preserve">clarify and </w:t>
      </w:r>
      <w:r w:rsidR="00625D94">
        <w:t xml:space="preserve">reaffirm its original intent </w:t>
      </w:r>
      <w:r w:rsidR="00F26381">
        <w:t xml:space="preserve">by </w:t>
      </w:r>
      <w:r w:rsidR="00625D94">
        <w:t>repudiat</w:t>
      </w:r>
      <w:r w:rsidR="00F26381">
        <w:t xml:space="preserve">ing </w:t>
      </w:r>
      <w:r w:rsidR="00625D94">
        <w:t>the decision.</w:t>
      </w:r>
    </w:p>
    <w:p w:rsidR="00041464" w:rsidRDefault="00041464" w:rsidP="00BB6E47"/>
    <w:p w:rsidR="00041464" w:rsidRDefault="00041464" w:rsidP="00BB6E47">
      <w:r>
        <w:t>______________________</w:t>
      </w:r>
    </w:p>
    <w:p w:rsidR="00041464" w:rsidRDefault="00041464" w:rsidP="00BB6E47"/>
    <w:p w:rsidR="00041464" w:rsidRDefault="00041464" w:rsidP="00BB6E47">
      <w:proofErr w:type="gramStart"/>
      <w:r w:rsidRPr="00041464">
        <w:rPr>
          <w:b/>
        </w:rPr>
        <w:t>ABOUT THE AUTHOR.</w:t>
      </w:r>
      <w:proofErr w:type="gramEnd"/>
      <w:r>
        <w:t xml:space="preserve">  </w:t>
      </w:r>
      <w:r w:rsidRPr="00041464">
        <w:t>Carolina Rose (J.D., Stanford, 1976) is owner and President of Legislative Research &amp; Intent LLC (LRI) which has researched the history and intent of more than 10,000 enactments for over 1,500 clients since 1983 (formerly Legislative Research, Inc.).  Previously she worked for approximately 7 years in the California Legislature where she was responsible for over 200 bills.  Ms. Rose is a recognized expert in the reconstruction of California legislative, regulatory and constitutional history and has written expert witness opinions or provided testimony or consulting in over 100 cases at the administrative, trial and appellate levels.  Her website offers complimentary online research and advocacy resources at www.lrihistory.com.  She can be reached at 800.530.7613 or carolina.rose@lrihistory.com.</w:t>
      </w:r>
    </w:p>
    <w:sectPr w:rsidR="00041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AA" w:rsidRDefault="00F20EAA" w:rsidP="0025333C">
      <w:r>
        <w:separator/>
      </w:r>
    </w:p>
  </w:endnote>
  <w:endnote w:type="continuationSeparator" w:id="0">
    <w:p w:rsidR="00F20EAA" w:rsidRDefault="00F20EAA" w:rsidP="002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AA" w:rsidRDefault="00F20EAA" w:rsidP="0025333C">
      <w:r>
        <w:separator/>
      </w:r>
    </w:p>
  </w:footnote>
  <w:footnote w:type="continuationSeparator" w:id="0">
    <w:p w:rsidR="00F20EAA" w:rsidRDefault="00F20EAA" w:rsidP="0025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1466"/>
    <w:multiLevelType w:val="hybridMultilevel"/>
    <w:tmpl w:val="947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E783A"/>
    <w:multiLevelType w:val="hybridMultilevel"/>
    <w:tmpl w:val="9710A8B2"/>
    <w:lvl w:ilvl="0" w:tplc="88549B6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33FAB"/>
    <w:multiLevelType w:val="hybridMultilevel"/>
    <w:tmpl w:val="56E8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85"/>
    <w:rsid w:val="00011023"/>
    <w:rsid w:val="0001288A"/>
    <w:rsid w:val="000269F7"/>
    <w:rsid w:val="00041464"/>
    <w:rsid w:val="00055BFE"/>
    <w:rsid w:val="00096764"/>
    <w:rsid w:val="000C7156"/>
    <w:rsid w:val="000D67D5"/>
    <w:rsid w:val="00116C0B"/>
    <w:rsid w:val="00132DEE"/>
    <w:rsid w:val="001620A1"/>
    <w:rsid w:val="00205563"/>
    <w:rsid w:val="00216134"/>
    <w:rsid w:val="002260EC"/>
    <w:rsid w:val="00235EA1"/>
    <w:rsid w:val="0025333C"/>
    <w:rsid w:val="00256D57"/>
    <w:rsid w:val="00263B44"/>
    <w:rsid w:val="002967AC"/>
    <w:rsid w:val="002C3D58"/>
    <w:rsid w:val="002C645C"/>
    <w:rsid w:val="002D5E85"/>
    <w:rsid w:val="002F2E1C"/>
    <w:rsid w:val="002F5541"/>
    <w:rsid w:val="00300AB3"/>
    <w:rsid w:val="00310F0B"/>
    <w:rsid w:val="003409D0"/>
    <w:rsid w:val="0037195D"/>
    <w:rsid w:val="003C4044"/>
    <w:rsid w:val="003E3744"/>
    <w:rsid w:val="00404E14"/>
    <w:rsid w:val="0045205B"/>
    <w:rsid w:val="00454866"/>
    <w:rsid w:val="004660F7"/>
    <w:rsid w:val="004A1C81"/>
    <w:rsid w:val="004C441B"/>
    <w:rsid w:val="00543F29"/>
    <w:rsid w:val="005762BA"/>
    <w:rsid w:val="005C45E0"/>
    <w:rsid w:val="005D2DBD"/>
    <w:rsid w:val="005E00FA"/>
    <w:rsid w:val="005F0F88"/>
    <w:rsid w:val="00625D94"/>
    <w:rsid w:val="006B2C73"/>
    <w:rsid w:val="006B458E"/>
    <w:rsid w:val="00723CA5"/>
    <w:rsid w:val="00733635"/>
    <w:rsid w:val="0074498E"/>
    <w:rsid w:val="007B146B"/>
    <w:rsid w:val="007B1F3C"/>
    <w:rsid w:val="007B22C3"/>
    <w:rsid w:val="007E132F"/>
    <w:rsid w:val="00827570"/>
    <w:rsid w:val="00843021"/>
    <w:rsid w:val="00867865"/>
    <w:rsid w:val="00867F30"/>
    <w:rsid w:val="008B0603"/>
    <w:rsid w:val="008B07B8"/>
    <w:rsid w:val="008B0FCE"/>
    <w:rsid w:val="008B7004"/>
    <w:rsid w:val="008B71F5"/>
    <w:rsid w:val="008C2ECA"/>
    <w:rsid w:val="008F1E58"/>
    <w:rsid w:val="00923753"/>
    <w:rsid w:val="009613E0"/>
    <w:rsid w:val="009D5D4D"/>
    <w:rsid w:val="00A10B67"/>
    <w:rsid w:val="00A14024"/>
    <w:rsid w:val="00A16521"/>
    <w:rsid w:val="00A51305"/>
    <w:rsid w:val="00A5392E"/>
    <w:rsid w:val="00A62B80"/>
    <w:rsid w:val="00A727ED"/>
    <w:rsid w:val="00A8440B"/>
    <w:rsid w:val="00AC1E06"/>
    <w:rsid w:val="00AE6336"/>
    <w:rsid w:val="00AE6810"/>
    <w:rsid w:val="00B20AEE"/>
    <w:rsid w:val="00B34BB5"/>
    <w:rsid w:val="00B35C6E"/>
    <w:rsid w:val="00BB3223"/>
    <w:rsid w:val="00BB6E47"/>
    <w:rsid w:val="00BC79C2"/>
    <w:rsid w:val="00BD2C95"/>
    <w:rsid w:val="00C75A57"/>
    <w:rsid w:val="00C80DD1"/>
    <w:rsid w:val="00CB578F"/>
    <w:rsid w:val="00D03296"/>
    <w:rsid w:val="00D3308D"/>
    <w:rsid w:val="00D34AFE"/>
    <w:rsid w:val="00E01396"/>
    <w:rsid w:val="00E23F5F"/>
    <w:rsid w:val="00E86A94"/>
    <w:rsid w:val="00E9525F"/>
    <w:rsid w:val="00EA2966"/>
    <w:rsid w:val="00F20EAA"/>
    <w:rsid w:val="00F26381"/>
    <w:rsid w:val="00F77CDE"/>
    <w:rsid w:val="00FE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85"/>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C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5C"/>
    <w:rPr>
      <w:rFonts w:ascii="Lucida Grande" w:hAnsi="Lucida Grande" w:cs="Lucida Grande"/>
      <w:sz w:val="18"/>
      <w:szCs w:val="18"/>
    </w:rPr>
  </w:style>
  <w:style w:type="character" w:styleId="Hyperlink">
    <w:name w:val="Hyperlink"/>
    <w:basedOn w:val="DefaultParagraphFont"/>
    <w:uiPriority w:val="99"/>
    <w:unhideWhenUsed/>
    <w:rsid w:val="002C645C"/>
    <w:rPr>
      <w:color w:val="0000FF" w:themeColor="hyperlink"/>
      <w:u w:val="single"/>
    </w:rPr>
  </w:style>
  <w:style w:type="paragraph" w:styleId="FootnoteText">
    <w:name w:val="footnote text"/>
    <w:basedOn w:val="Normal"/>
    <w:link w:val="FootnoteTextChar"/>
    <w:uiPriority w:val="99"/>
    <w:unhideWhenUsed/>
    <w:rsid w:val="0025333C"/>
    <w:rPr>
      <w:sz w:val="20"/>
      <w:szCs w:val="20"/>
    </w:rPr>
  </w:style>
  <w:style w:type="character" w:customStyle="1" w:styleId="FootnoteTextChar">
    <w:name w:val="Footnote Text Char"/>
    <w:basedOn w:val="DefaultParagraphFont"/>
    <w:link w:val="FootnoteText"/>
    <w:uiPriority w:val="99"/>
    <w:rsid w:val="0025333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53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85"/>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C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5C"/>
    <w:rPr>
      <w:rFonts w:ascii="Lucida Grande" w:hAnsi="Lucida Grande" w:cs="Lucida Grande"/>
      <w:sz w:val="18"/>
      <w:szCs w:val="18"/>
    </w:rPr>
  </w:style>
  <w:style w:type="character" w:styleId="Hyperlink">
    <w:name w:val="Hyperlink"/>
    <w:basedOn w:val="DefaultParagraphFont"/>
    <w:uiPriority w:val="99"/>
    <w:unhideWhenUsed/>
    <w:rsid w:val="002C645C"/>
    <w:rPr>
      <w:color w:val="0000FF" w:themeColor="hyperlink"/>
      <w:u w:val="single"/>
    </w:rPr>
  </w:style>
  <w:style w:type="paragraph" w:styleId="FootnoteText">
    <w:name w:val="footnote text"/>
    <w:basedOn w:val="Normal"/>
    <w:link w:val="FootnoteTextChar"/>
    <w:uiPriority w:val="99"/>
    <w:unhideWhenUsed/>
    <w:rsid w:val="0025333C"/>
    <w:rPr>
      <w:sz w:val="20"/>
      <w:szCs w:val="20"/>
    </w:rPr>
  </w:style>
  <w:style w:type="character" w:customStyle="1" w:styleId="FootnoteTextChar">
    <w:name w:val="Footnote Text Char"/>
    <w:basedOn w:val="DefaultParagraphFont"/>
    <w:link w:val="FootnoteText"/>
    <w:uiPriority w:val="99"/>
    <w:rsid w:val="0025333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53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49364">
      <w:bodyDiv w:val="1"/>
      <w:marLeft w:val="0"/>
      <w:marRight w:val="0"/>
      <w:marTop w:val="0"/>
      <w:marBottom w:val="0"/>
      <w:divBdr>
        <w:top w:val="none" w:sz="0" w:space="0" w:color="auto"/>
        <w:left w:val="none" w:sz="0" w:space="0" w:color="auto"/>
        <w:bottom w:val="none" w:sz="0" w:space="0" w:color="auto"/>
        <w:right w:val="none" w:sz="0" w:space="0" w:color="auto"/>
      </w:divBdr>
    </w:div>
    <w:div w:id="1066146894">
      <w:bodyDiv w:val="1"/>
      <w:marLeft w:val="30"/>
      <w:marRight w:val="30"/>
      <w:marTop w:val="30"/>
      <w:marBottom w:val="30"/>
      <w:divBdr>
        <w:top w:val="none" w:sz="0" w:space="0" w:color="auto"/>
        <w:left w:val="none" w:sz="0" w:space="0" w:color="auto"/>
        <w:bottom w:val="none" w:sz="0" w:space="0" w:color="auto"/>
        <w:right w:val="none" w:sz="0" w:space="0" w:color="auto"/>
      </w:divBdr>
      <w:divsChild>
        <w:div w:id="1349261432">
          <w:marLeft w:val="0"/>
          <w:marRight w:val="0"/>
          <w:marTop w:val="0"/>
          <w:marBottom w:val="0"/>
          <w:divBdr>
            <w:top w:val="none" w:sz="0" w:space="0" w:color="auto"/>
            <w:left w:val="none" w:sz="0" w:space="0" w:color="auto"/>
            <w:bottom w:val="none" w:sz="0" w:space="0" w:color="auto"/>
            <w:right w:val="none" w:sz="0" w:space="0" w:color="auto"/>
          </w:divBdr>
          <w:divsChild>
            <w:div w:id="288896973">
              <w:marLeft w:val="45"/>
              <w:marRight w:val="45"/>
              <w:marTop w:val="45"/>
              <w:marBottom w:val="45"/>
              <w:divBdr>
                <w:top w:val="none" w:sz="0" w:space="0" w:color="auto"/>
                <w:left w:val="none" w:sz="0" w:space="0" w:color="auto"/>
                <w:bottom w:val="none" w:sz="0" w:space="0" w:color="auto"/>
                <w:right w:val="none" w:sz="0" w:space="0" w:color="auto"/>
              </w:divBdr>
              <w:divsChild>
                <w:div w:id="1702198251">
                  <w:marLeft w:val="0"/>
                  <w:marRight w:val="0"/>
                  <w:marTop w:val="0"/>
                  <w:marBottom w:val="0"/>
                  <w:divBdr>
                    <w:top w:val="none" w:sz="0" w:space="0" w:color="auto"/>
                    <w:left w:val="none" w:sz="0" w:space="0" w:color="auto"/>
                    <w:bottom w:val="none" w:sz="0" w:space="0" w:color="auto"/>
                    <w:right w:val="none" w:sz="0" w:space="0" w:color="auto"/>
                  </w:divBdr>
                  <w:divsChild>
                    <w:div w:id="731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5D8E-5D72-491E-8BFD-082FB38C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Rose</dc:creator>
  <cp:lastModifiedBy>Salena Copeland</cp:lastModifiedBy>
  <cp:revision>2</cp:revision>
  <cp:lastPrinted>2013-11-01T16:43:00Z</cp:lastPrinted>
  <dcterms:created xsi:type="dcterms:W3CDTF">2013-11-22T19:15:00Z</dcterms:created>
  <dcterms:modified xsi:type="dcterms:W3CDTF">2013-11-22T19:15:00Z</dcterms:modified>
</cp:coreProperties>
</file>